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7269" w14:textId="77777777" w:rsidR="00B3495F" w:rsidRPr="00B3495F" w:rsidRDefault="00B3495F" w:rsidP="00B3495F">
      <w:pPr>
        <w:jc w:val="both"/>
        <w:rPr>
          <w:rFonts w:ascii="Calibri" w:hAnsi="Calibri" w:cs="Calibri"/>
        </w:rPr>
      </w:pPr>
    </w:p>
    <w:p w14:paraId="01C22AF4" w14:textId="16969A3A" w:rsidR="00B3495F" w:rsidRPr="00B3495F" w:rsidRDefault="00B3495F" w:rsidP="00B3495F">
      <w:pPr>
        <w:jc w:val="center"/>
        <w:rPr>
          <w:rFonts w:ascii="Calibri" w:hAnsi="Calibri" w:cs="Calibri"/>
          <w:sz w:val="40"/>
          <w:szCs w:val="40"/>
        </w:rPr>
      </w:pPr>
      <w:r w:rsidRPr="00B3495F">
        <w:rPr>
          <w:rFonts w:ascii="Calibri" w:hAnsi="Calibri" w:cs="Calibri"/>
          <w:sz w:val="40"/>
          <w:szCs w:val="40"/>
        </w:rPr>
        <w:t>OFFRE D’EMPLOI</w:t>
      </w:r>
    </w:p>
    <w:p w14:paraId="71B2BEE4" w14:textId="77777777" w:rsidR="00B3495F" w:rsidRPr="00B3495F" w:rsidRDefault="00B3495F" w:rsidP="00B3495F">
      <w:pPr>
        <w:jc w:val="both"/>
        <w:rPr>
          <w:rFonts w:ascii="Calibri" w:hAnsi="Calibri" w:cs="Calibri"/>
        </w:rPr>
      </w:pPr>
    </w:p>
    <w:p w14:paraId="1E3CCBDD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8"/>
          <w:szCs w:val="28"/>
          <w:lang w:eastAsia="en-US"/>
          <w14:ligatures w14:val="standardContextual"/>
        </w:rPr>
      </w:pPr>
      <w:proofErr w:type="spellStart"/>
      <w:r w:rsidRPr="00B3495F">
        <w:rPr>
          <w:rFonts w:ascii="Calibri" w:eastAsiaTheme="minorHAnsi" w:hAnsi="Calibri" w:cs="Calibri"/>
          <w:b/>
          <w:bCs/>
          <w:color w:val="393939"/>
          <w:sz w:val="28"/>
          <w:szCs w:val="28"/>
          <w:lang w:eastAsia="en-US"/>
          <w14:ligatures w14:val="standardContextual"/>
        </w:rPr>
        <w:t>Directeur·rice</w:t>
      </w:r>
      <w:proofErr w:type="spellEnd"/>
      <w:r w:rsidRPr="00B3495F">
        <w:rPr>
          <w:rFonts w:ascii="Calibri" w:eastAsiaTheme="minorHAnsi" w:hAnsi="Calibri" w:cs="Calibri"/>
          <w:b/>
          <w:bCs/>
          <w:color w:val="393939"/>
          <w:sz w:val="28"/>
          <w:szCs w:val="28"/>
          <w:lang w:eastAsia="en-US"/>
          <w14:ligatures w14:val="standardContextual"/>
        </w:rPr>
        <w:t xml:space="preserve"> de Régie des Quartiers du Bassin Minier</w:t>
      </w:r>
    </w:p>
    <w:p w14:paraId="1D659FD3" w14:textId="76FEC3B5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Type de contrat : CDI – Temps plein 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ab/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ab/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Lieu : Montceau-les-Mines</w:t>
      </w:r>
    </w:p>
    <w:p w14:paraId="5EB12084" w14:textId="6E7E330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Prise de poste : 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1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vertAlign w:val="superscript"/>
          <w:lang w:eastAsia="en-US"/>
          <w14:ligatures w14:val="standardContextual"/>
        </w:rPr>
        <w:t>er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octobre 2025</w:t>
      </w:r>
    </w:p>
    <w:p w14:paraId="4C395101" w14:textId="3797FC6E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Rémunération : selon profil et expérience 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et selon CCN</w:t>
      </w:r>
    </w:p>
    <w:p w14:paraId="088D97F3" w14:textId="77777777" w:rsid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</w:p>
    <w:p w14:paraId="4DE5602A" w14:textId="29965D7F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  <w:t>Qui sommes-nous ?</w:t>
      </w:r>
    </w:p>
    <w:p w14:paraId="4CF67A69" w14:textId="5471CB13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La Régie des Quartiers du Bassin Minier est une structure d’insertion par l’activité économique, au service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de son territoire et de ses habitants. Elle mène des actions concrètes autour de l’emploi et du lien social en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s’appuyant sur les principes d’économie solidaire, de co-construction et de proximité.</w:t>
      </w:r>
    </w:p>
    <w:p w14:paraId="372AA7A7" w14:textId="16406E75" w:rsid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Véritable acteur de la transformation locale, la régie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œuvre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chaque jour à améliorer le cadre de vie et à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accompagner les personnes vers un retour à l’emploi durable, à travers des activités comme l’entretien</w:t>
      </w:r>
      <w:r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d’espaces verts, le nettoyage, le second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œuvre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ou encore la gestion des encombrants.</w:t>
      </w:r>
    </w:p>
    <w:p w14:paraId="2DC4134D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</w:p>
    <w:p w14:paraId="7A6E7D6B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  <w:t>Le poste à pourvoir : Une direction engagée</w:t>
      </w:r>
    </w:p>
    <w:p w14:paraId="3F745ED6" w14:textId="0A0CE158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Nous recherchons </w:t>
      </w:r>
      <w:proofErr w:type="spellStart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un·e</w:t>
      </w:r>
      <w:proofErr w:type="spellEnd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Directeur·rice</w:t>
      </w:r>
      <w:proofErr w:type="spellEnd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capable de conjuguer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vision humaine, rigueur de gestion et</w:t>
      </w:r>
      <w:r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compréhension des enjeux territoriaux.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Vous serez </w:t>
      </w:r>
      <w:proofErr w:type="spellStart"/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garant·e</w:t>
      </w:r>
      <w:proofErr w:type="spellEnd"/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 du bon fonctionnement de la structure,</w:t>
      </w:r>
      <w:r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dans ses dimensions économiques, sociales, humaines et politiques.</w:t>
      </w:r>
    </w:p>
    <w:p w14:paraId="02487C3F" w14:textId="21E7FAA9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Vous piloterez une équipe d’environ 3</w:t>
      </w:r>
      <w:r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0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 personnes,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dont 18 postes en insertion en moyenne,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en</w:t>
      </w:r>
      <w:r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veillant à l’accompagnement de chacun dans un cadre à la fois exigeant et bienveillant.</w:t>
      </w:r>
    </w:p>
    <w:p w14:paraId="0CFBFC96" w14:textId="12681075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Ce poste demande une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posture affirmée, capable d’interagir avec les acteurs institutionnels et</w:t>
      </w:r>
      <w:r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politiques, tout en préservant les valeurs et les missions sociales et inclusives de la structure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.</w:t>
      </w:r>
    </w:p>
    <w:p w14:paraId="16645C90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</w:p>
    <w:p w14:paraId="3A15B34D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  <w:t>Vos missions principales</w:t>
      </w:r>
    </w:p>
    <w:p w14:paraId="6D8C5C46" w14:textId="2A8B4150" w:rsidR="00B3495F" w:rsidRPr="00B3495F" w:rsidRDefault="00B3495F" w:rsidP="00B349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Pilotage stratégique et opérationnel</w:t>
      </w:r>
    </w:p>
    <w:p w14:paraId="33C3BB66" w14:textId="4F02B4C0" w:rsidR="00B3495F" w:rsidRPr="00B3495F" w:rsidRDefault="00B3495F" w:rsidP="00B3495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Définir et mettre en </w:t>
      </w:r>
      <w:r w:rsidRPr="00B3495F">
        <w:rPr>
          <w:rFonts w:ascii="Calibri" w:hAnsi="Calibri" w:cs="Calibri"/>
          <w:color w:val="393939"/>
          <w:sz w:val="22"/>
          <w:szCs w:val="22"/>
        </w:rPr>
        <w:t>œuvre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le projet stratégique de la régie en lien avec le Conseil d’Administration et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l’équipe</w:t>
      </w:r>
    </w:p>
    <w:p w14:paraId="76F90A53" w14:textId="7A80ADCB" w:rsidR="00B3495F" w:rsidRPr="00B3495F" w:rsidRDefault="00B3495F" w:rsidP="00B3495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Assurer la gestion globale de la structure : ressources humaines, finances, développement d’activités</w:t>
      </w:r>
    </w:p>
    <w:p w14:paraId="72ACE3CA" w14:textId="2AEAEEDC" w:rsidR="00B3495F" w:rsidRPr="00B3495F" w:rsidRDefault="00B3495F" w:rsidP="00B3495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Garantir la pérennité économique de la régie (gestion budgétaire, recherche de financements,</w:t>
      </w:r>
      <w:r>
        <w:rPr>
          <w:rFonts w:ascii="Calibri" w:hAnsi="Calibri" w:cs="Calibri"/>
          <w:color w:val="393939"/>
          <w:sz w:val="22"/>
          <w:szCs w:val="22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</w:rPr>
        <w:t>optimisation des ressources)</w:t>
      </w:r>
    </w:p>
    <w:p w14:paraId="6DABB876" w14:textId="7C0E8BE2" w:rsidR="00B3495F" w:rsidRPr="00B3495F" w:rsidRDefault="00B3495F" w:rsidP="00B3495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Assurer la veille, la réponse et le suivi des appels d’offres pour développer les activités de la régie</w:t>
      </w:r>
    </w:p>
    <w:p w14:paraId="6FD07F46" w14:textId="36A03BB2" w:rsidR="00B3495F" w:rsidRPr="00B3495F" w:rsidRDefault="00B3495F" w:rsidP="00B349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A3A3A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A3A3A"/>
          <w:sz w:val="22"/>
          <w:szCs w:val="22"/>
          <w:lang w:eastAsia="en-US"/>
          <w14:ligatures w14:val="standardContextual"/>
        </w:rPr>
        <w:t>Management d’équipe</w:t>
      </w:r>
    </w:p>
    <w:p w14:paraId="681CBF52" w14:textId="492E141C" w:rsidR="00B3495F" w:rsidRPr="00B3495F" w:rsidRDefault="00B3495F" w:rsidP="00B349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Encadrer, accompagner et faire monter en compétences une équipe pluridisciplinaire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(encadrement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technique, personnel administratif, salariés en insertion…)</w:t>
      </w:r>
    </w:p>
    <w:p w14:paraId="2B660E1D" w14:textId="5C602720" w:rsidR="00B3495F" w:rsidRPr="00B3495F" w:rsidRDefault="00B3495F" w:rsidP="00B3495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Installer un climat de confiance et de reconnaissance, en favorisant la coopération et le bien-être au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travail</w:t>
      </w:r>
    </w:p>
    <w:p w14:paraId="053831F9" w14:textId="60FE57BF" w:rsidR="00B3495F" w:rsidRPr="00B3495F" w:rsidRDefault="00B3495F" w:rsidP="00B349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A3A3A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A3A3A"/>
          <w:sz w:val="22"/>
          <w:szCs w:val="22"/>
          <w:lang w:eastAsia="en-US"/>
          <w14:ligatures w14:val="standardContextual"/>
        </w:rPr>
        <w:t>Développement des partenariats</w:t>
      </w:r>
    </w:p>
    <w:p w14:paraId="0FD692F2" w14:textId="10EB9218" w:rsidR="00B3495F" w:rsidRPr="00B3495F" w:rsidRDefault="00B3495F" w:rsidP="00B3495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Entretenir et développer les relations avec les partenaires publics, privés, associatifs et les entreprises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du territoire</w:t>
      </w:r>
    </w:p>
    <w:p w14:paraId="068A79BF" w14:textId="7D6389B2" w:rsidR="00B3495F" w:rsidRPr="00B3495F" w:rsidRDefault="00B3495F" w:rsidP="00B3495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Être </w:t>
      </w:r>
      <w:proofErr w:type="spellStart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acteur·rice</w:t>
      </w:r>
      <w:proofErr w:type="spellEnd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du réseau des régies de quartier et représenter la structure lors d’événements ou de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groupes de travail [ce point reste à confirmer]</w:t>
      </w:r>
    </w:p>
    <w:p w14:paraId="096D50DC" w14:textId="02367BCE" w:rsidR="00B3495F" w:rsidRPr="00B3495F" w:rsidRDefault="00B3495F" w:rsidP="00B349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lastRenderedPageBreak/>
        <w:t>Relations avec la gouvernance</w:t>
      </w:r>
    </w:p>
    <w:p w14:paraId="41C3AB70" w14:textId="54C1D0C1" w:rsidR="00B3495F" w:rsidRPr="00B3495F" w:rsidRDefault="00B3495F" w:rsidP="00B3495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Travailler en étroite collaboration avec le Président et le Bureau du Conseil d’Administration</w:t>
      </w:r>
    </w:p>
    <w:p w14:paraId="0860E341" w14:textId="405358C7" w:rsidR="00B3495F" w:rsidRPr="00B3495F" w:rsidRDefault="00B3495F" w:rsidP="00B3495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Organiser et animer les réunions du CA, préparer les documents nécessaires à la prise de décision,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garantir la bonne information de la gouvernance</w:t>
      </w:r>
    </w:p>
    <w:p w14:paraId="75477EA8" w14:textId="00B07BF5" w:rsidR="00B3495F" w:rsidRPr="00B3495F" w:rsidRDefault="00B3495F" w:rsidP="00B3495F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Être force de proposition pour faire évoluer le projet associatif dans le respect des valeurs fondatrices</w:t>
      </w:r>
    </w:p>
    <w:p w14:paraId="7F3AB407" w14:textId="77777777" w:rsidR="00B3495F" w:rsidRPr="00B3495F" w:rsidRDefault="00B3495F" w:rsidP="00B3495F">
      <w:pPr>
        <w:jc w:val="both"/>
        <w:rPr>
          <w:rFonts w:ascii="Calibri" w:hAnsi="Calibri" w:cs="Calibri"/>
        </w:rPr>
      </w:pPr>
    </w:p>
    <w:p w14:paraId="014B5ADF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  <w:t>Profil recherché</w:t>
      </w:r>
    </w:p>
    <w:p w14:paraId="1E4684B7" w14:textId="7A2772A2" w:rsidR="00B3495F" w:rsidRPr="00B3495F" w:rsidRDefault="00B3495F" w:rsidP="00B3495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Expérience confirmée dans la direction ou la gestion d’une structure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, idéalement dans l’économie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sociale et solidaire, l’insertion ou le champ associatif</w:t>
      </w:r>
    </w:p>
    <w:p w14:paraId="41C8464B" w14:textId="75786543" w:rsidR="00B3495F" w:rsidRPr="00B3495F" w:rsidRDefault="00B3495F" w:rsidP="00B3495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Solides compétences en gestion d’entreprise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: pilotage budgétaire, plan de développement,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ressources humaines</w:t>
      </w:r>
    </w:p>
    <w:p w14:paraId="3B3D7640" w14:textId="537F9E6C" w:rsidR="00B3495F" w:rsidRPr="00B3495F" w:rsidRDefault="00B3495F" w:rsidP="00B3495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Forte sensibilité aux </w:t>
      </w: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valeurs humaines, sociales et territoriales</w:t>
      </w:r>
    </w:p>
    <w:p w14:paraId="3FEE4845" w14:textId="6E438CA1" w:rsidR="00B3495F" w:rsidRPr="00B3495F" w:rsidRDefault="00B3495F" w:rsidP="00B3495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Très bonnes capacités relationnelles, d’écoute, de diplomatie et de négociation</w:t>
      </w:r>
    </w:p>
    <w:p w14:paraId="3A75FCE2" w14:textId="41FBFA57" w:rsidR="00B3495F" w:rsidRPr="00B3495F" w:rsidRDefault="00B3495F" w:rsidP="00B3495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 xml:space="preserve">Posture affirmée et stratégique,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avec une compréhension des dynamiques politiques locales et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institutionnelles</w:t>
      </w:r>
    </w:p>
    <w:p w14:paraId="5B733C99" w14:textId="2536A3E5" w:rsidR="00B3495F" w:rsidRPr="00B3495F" w:rsidRDefault="00B3495F" w:rsidP="00B3495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  <w:t>Capacité à gérer des contextes complexes et à impulser une dynamique collective positive</w:t>
      </w:r>
    </w:p>
    <w:p w14:paraId="1D6CD599" w14:textId="77777777" w:rsid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393939"/>
          <w:sz w:val="22"/>
          <w:szCs w:val="22"/>
          <w:lang w:eastAsia="en-US"/>
          <w14:ligatures w14:val="standardContextual"/>
        </w:rPr>
      </w:pPr>
    </w:p>
    <w:p w14:paraId="6EE892E5" w14:textId="4DFA7BD1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  <w:t>Pourquoi nous rejoindre ?</w:t>
      </w:r>
    </w:p>
    <w:p w14:paraId="6B5848CF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Une structure reconnue localement, à fort impact social</w:t>
      </w:r>
    </w:p>
    <w:p w14:paraId="34EE2383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Une équipe engagée, soudée et en demande d’un pilotage clair et humain</w:t>
      </w:r>
    </w:p>
    <w:p w14:paraId="2ED52B3D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Un projet à fort potentiel de développement dans un environnement en mutation</w:t>
      </w:r>
    </w:p>
    <w:p w14:paraId="42E8840C" w14:textId="77777777" w:rsid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La possibilité de </w:t>
      </w:r>
      <w:proofErr w:type="spellStart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co-construire</w:t>
      </w:r>
      <w:proofErr w:type="spellEnd"/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l’avenir de la régie avec le Conseil d’Administration</w:t>
      </w:r>
    </w:p>
    <w:p w14:paraId="6D849130" w14:textId="77777777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</w:p>
    <w:p w14:paraId="6D1EA5BC" w14:textId="18206F81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b/>
          <w:bCs/>
          <w:color w:val="0070C0"/>
          <w:sz w:val="22"/>
          <w:szCs w:val="22"/>
          <w:lang w:eastAsia="en-US"/>
          <w14:ligatures w14:val="standardContextual"/>
        </w:rPr>
        <w:t>Processus de recrutement</w:t>
      </w:r>
    </w:p>
    <w:p w14:paraId="2AFC4650" w14:textId="6499BD61" w:rsidR="00B3495F" w:rsidRPr="00B3495F" w:rsidRDefault="00B3495F" w:rsidP="00B3495F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Dans un souci de transparence et d’objectivité, le processus de recrutement comprendra plusieurs étapes :</w:t>
      </w:r>
      <w:r w:rsidR="006146D9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un premier entretien avec la direction actuelle de la structure, suivi d’un échange avec les membres du</w:t>
      </w:r>
      <w:r w:rsidR="006146D9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Bureau du Conseil d’Administration. Un temps d’échange avec une consultante RH sera également prévu</w:t>
      </w:r>
      <w:r w:rsidR="006146D9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afin de conforter l’adéquation entre le profil du candidat ou de la candidate et les enjeux du poste.</w:t>
      </w:r>
    </w:p>
    <w:p w14:paraId="10F678A2" w14:textId="067FDB18" w:rsidR="00B3495F" w:rsidRPr="006146D9" w:rsidRDefault="00B3495F" w:rsidP="006146D9">
      <w:pPr>
        <w:autoSpaceDE w:val="0"/>
        <w:autoSpaceDN w:val="0"/>
        <w:adjustRightInd w:val="0"/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</w:pP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Ce dispositif vise à garantir une sélection juste, alignée avec les valeurs de la structure et respectueuse</w:t>
      </w:r>
      <w:r w:rsidR="006146D9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 xml:space="preserve"> </w:t>
      </w:r>
      <w:r w:rsidRPr="00B3495F">
        <w:rPr>
          <w:rFonts w:ascii="Calibri" w:eastAsiaTheme="minorHAnsi" w:hAnsi="Calibri" w:cs="Calibri"/>
          <w:color w:val="393939"/>
          <w:sz w:val="22"/>
          <w:szCs w:val="22"/>
          <w:lang w:eastAsia="en-US"/>
          <w14:ligatures w14:val="standardContextual"/>
        </w:rPr>
        <w:t>des enjeux territoriaux, sociaux et politiques dans lesquels elle s’inscrit.]</w:t>
      </w:r>
    </w:p>
    <w:sectPr w:rsidR="00B3495F" w:rsidRPr="006146D9" w:rsidSect="00B3495F">
      <w:headerReference w:type="default" r:id="rId5"/>
      <w:footerReference w:type="default" r:id="rId6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jc w:val="center"/>
      <w:tblBorders>
        <w:top w:val="dotDotDash" w:sz="4" w:space="0" w:color="auto"/>
        <w:left w:val="dotDotDash" w:sz="4" w:space="0" w:color="auto"/>
        <w:bottom w:val="dotDotDash" w:sz="4" w:space="0" w:color="auto"/>
        <w:right w:val="dotDotDash" w:sz="4" w:space="0" w:color="auto"/>
        <w:insideH w:val="dotDotDash" w:sz="4" w:space="0" w:color="auto"/>
        <w:insideV w:val="dotDotDash" w:sz="4" w:space="0" w:color="auto"/>
      </w:tblBorders>
      <w:tblLook w:val="04A0" w:firstRow="1" w:lastRow="0" w:firstColumn="1" w:lastColumn="0" w:noHBand="0" w:noVBand="1"/>
    </w:tblPr>
    <w:tblGrid>
      <w:gridCol w:w="1584"/>
      <w:gridCol w:w="1506"/>
      <w:gridCol w:w="2038"/>
      <w:gridCol w:w="1430"/>
      <w:gridCol w:w="1686"/>
    </w:tblGrid>
    <w:tr w:rsidR="00640140" w14:paraId="3E2B9923" w14:textId="77777777" w:rsidTr="00FE0BA0">
      <w:trPr>
        <w:jc w:val="center"/>
      </w:trPr>
      <w:tc>
        <w:tcPr>
          <w:tcW w:w="1584" w:type="dxa"/>
        </w:tcPr>
        <w:p w14:paraId="3BAD0CE6" w14:textId="77777777" w:rsidR="006146D9" w:rsidRDefault="006146D9" w:rsidP="00692742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0B40EEA" wp14:editId="16ACDF22">
                <wp:extent cx="652733" cy="390525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61" cy="422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D4B615" w14:textId="77777777" w:rsidR="006146D9" w:rsidRDefault="006146D9" w:rsidP="00884737">
          <w:pPr>
            <w:pStyle w:val="Pieddepage"/>
            <w:rPr>
              <w:sz w:val="16"/>
              <w:szCs w:val="16"/>
            </w:rPr>
          </w:pPr>
        </w:p>
      </w:tc>
      <w:tc>
        <w:tcPr>
          <w:tcW w:w="1506" w:type="dxa"/>
        </w:tcPr>
        <w:p w14:paraId="135A3E5D" w14:textId="77777777" w:rsidR="006146D9" w:rsidRDefault="006146D9" w:rsidP="00692742">
          <w:pPr>
            <w:pStyle w:val="Pieddepage"/>
            <w:jc w:val="center"/>
            <w:rPr>
              <w:noProof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00F8D0B5" wp14:editId="646B54F4">
                <wp:extent cx="816476" cy="438150"/>
                <wp:effectExtent l="0" t="0" r="317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521" cy="45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08173DA5" w14:textId="77777777" w:rsidR="006146D9" w:rsidRDefault="006146D9" w:rsidP="00692742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4A708BF" wp14:editId="17074488">
                <wp:extent cx="1141572" cy="447675"/>
                <wp:effectExtent l="0" t="0" r="1905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NCT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312" cy="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0" w:type="dxa"/>
        </w:tcPr>
        <w:p w14:paraId="7EA49DD5" w14:textId="77777777" w:rsidR="006146D9" w:rsidRDefault="006146D9" w:rsidP="00692742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noProof/>
              <w:lang w:eastAsia="fr-FR"/>
            </w:rPr>
            <w:drawing>
              <wp:inline distT="0" distB="0" distL="0" distR="0" wp14:anchorId="0CDCD147" wp14:editId="0E55494B">
                <wp:extent cx="535781" cy="42862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gionCMJN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506" cy="43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4" w:type="dxa"/>
        </w:tcPr>
        <w:p w14:paraId="0C47EBBE" w14:textId="77777777" w:rsidR="006146D9" w:rsidRDefault="006146D9" w:rsidP="00692742">
          <w:pPr>
            <w:pStyle w:val="Pieddepag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8E97412" wp14:editId="2F16CEBA">
                <wp:extent cx="933907" cy="273072"/>
                <wp:effectExtent l="0" t="0" r="0" b="0"/>
                <wp:docPr id="1831246601" name="Image 1" descr="Une image contenant texte, Police, logo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246601" name="Image 1" descr="Une image contenant texte, Police, logo, symbole&#10;&#10;Description générée automatiquement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101" cy="27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9EA7A3" w14:textId="77777777" w:rsidR="006146D9" w:rsidRPr="00B463BD" w:rsidRDefault="006146D9" w:rsidP="00692742">
    <w:pPr>
      <w:pStyle w:val="Pieddepage"/>
      <w:jc w:val="cen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6237"/>
    </w:tblGrid>
    <w:tr w:rsidR="00331FA0" w14:paraId="7F81E5C6" w14:textId="77777777" w:rsidTr="00692742">
      <w:tc>
        <w:tcPr>
          <w:tcW w:w="4219" w:type="dxa"/>
        </w:tcPr>
        <w:p w14:paraId="553D491A" w14:textId="77777777" w:rsidR="006146D9" w:rsidRDefault="006146D9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4C3FA00" wp14:editId="4D5ACF5B">
                <wp:extent cx="1010259" cy="1224000"/>
                <wp:effectExtent l="19050" t="0" r="0" b="0"/>
                <wp:docPr id="1" name="Image 0" descr="logo-RQBM-2015-v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QBM-2015-v1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259" cy="12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B2A3B25" w14:textId="77777777" w:rsidR="006146D9" w:rsidRDefault="006146D9" w:rsidP="00F91F5B">
          <w:pPr>
            <w:rPr>
              <w:rFonts w:cs="Arial"/>
            </w:rPr>
          </w:pPr>
        </w:p>
        <w:p w14:paraId="0E2BC5F9" w14:textId="77777777" w:rsidR="006146D9" w:rsidRPr="00E85AB4" w:rsidRDefault="006146D9" w:rsidP="00F91F5B">
          <w:pPr>
            <w:rPr>
              <w:rFonts w:asciiTheme="minorHAnsi" w:hAnsiTheme="minorHAnsi" w:cs="Arial"/>
            </w:rPr>
          </w:pPr>
          <w:r w:rsidRPr="00E85AB4">
            <w:rPr>
              <w:rFonts w:asciiTheme="minorHAnsi" w:hAnsiTheme="minorHAnsi" w:cs="Arial"/>
            </w:rPr>
            <w:t xml:space="preserve">6 rue </w:t>
          </w:r>
          <w:proofErr w:type="spellStart"/>
          <w:r w:rsidRPr="00E85AB4">
            <w:rPr>
              <w:rFonts w:asciiTheme="minorHAnsi" w:hAnsiTheme="minorHAnsi" w:cs="Arial"/>
            </w:rPr>
            <w:t>Forêtale</w:t>
          </w:r>
          <w:proofErr w:type="spellEnd"/>
          <w:r w:rsidRPr="00E85AB4">
            <w:rPr>
              <w:rFonts w:asciiTheme="minorHAnsi" w:hAnsiTheme="minorHAnsi" w:cs="Arial"/>
            </w:rPr>
            <w:t xml:space="preserve"> – Bâtiment D/63</w:t>
          </w:r>
        </w:p>
        <w:p w14:paraId="40569888" w14:textId="77777777" w:rsidR="006146D9" w:rsidRPr="00E85AB4" w:rsidRDefault="006146D9" w:rsidP="00F91F5B">
          <w:pPr>
            <w:rPr>
              <w:rFonts w:asciiTheme="minorHAnsi" w:hAnsiTheme="minorHAnsi" w:cs="Arial"/>
            </w:rPr>
          </w:pPr>
          <w:r w:rsidRPr="00E85AB4">
            <w:rPr>
              <w:rFonts w:asciiTheme="minorHAnsi" w:hAnsiTheme="minorHAnsi" w:cs="Arial"/>
            </w:rPr>
            <w:t>71 300 Montceau-les-Mines</w:t>
          </w:r>
        </w:p>
        <w:p w14:paraId="5526604A" w14:textId="77777777" w:rsidR="006146D9" w:rsidRPr="00E85AB4" w:rsidRDefault="006146D9" w:rsidP="00F91F5B">
          <w:pPr>
            <w:rPr>
              <w:rFonts w:asciiTheme="minorHAnsi" w:hAnsiTheme="minorHAnsi" w:cs="Arial"/>
            </w:rPr>
          </w:pPr>
          <w:r w:rsidRPr="00E85AB4">
            <w:rPr>
              <w:rFonts w:asciiTheme="minorHAnsi" w:hAnsiTheme="minorHAnsi"/>
            </w:rPr>
            <w:sym w:font="Wingdings" w:char="F029"/>
          </w:r>
          <w:proofErr w:type="gramStart"/>
          <w:r w:rsidRPr="00E85AB4">
            <w:rPr>
              <w:rFonts w:asciiTheme="minorHAnsi" w:hAnsiTheme="minorHAnsi" w:cs="Arial"/>
            </w:rPr>
            <w:t xml:space="preserve">03.85.57.07.49 </w:t>
          </w:r>
          <w:r>
            <w:rPr>
              <w:rFonts w:asciiTheme="minorHAnsi" w:hAnsiTheme="minorHAnsi" w:cs="Arial"/>
            </w:rPr>
            <w:t xml:space="preserve"> -</w:t>
          </w:r>
          <w:proofErr w:type="gramEnd"/>
          <w:r>
            <w:rPr>
              <w:rFonts w:asciiTheme="minorHAnsi" w:hAnsiTheme="minorHAnsi" w:cs="Arial"/>
            </w:rPr>
            <w:t xml:space="preserve"> </w:t>
          </w:r>
          <w:hyperlink r:id="rId2" w:history="1">
            <w:r w:rsidRPr="00A0565D">
              <w:rPr>
                <w:rStyle w:val="Lienhypertexte"/>
                <w:rFonts w:asciiTheme="minorHAnsi" w:eastAsiaTheme="majorEastAsia" w:hAnsiTheme="minorHAnsi" w:cs="Arial"/>
              </w:rPr>
              <w:t>contact@rqbassinminier.fr</w:t>
            </w:r>
          </w:hyperlink>
        </w:p>
        <w:p w14:paraId="3C48CA47" w14:textId="77777777" w:rsidR="006146D9" w:rsidRDefault="006146D9" w:rsidP="00F91F5B">
          <w:pPr>
            <w:pStyle w:val="En-tte"/>
            <w:rPr>
              <w:rFonts w:cs="Arial"/>
            </w:rPr>
          </w:pPr>
          <w:r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D1AB7A" wp14:editId="19AC43DC">
                    <wp:simplePos x="0" y="0"/>
                    <wp:positionH relativeFrom="column">
                      <wp:posOffset>3100070</wp:posOffset>
                    </wp:positionH>
                    <wp:positionV relativeFrom="paragraph">
                      <wp:posOffset>107950</wp:posOffset>
                    </wp:positionV>
                    <wp:extent cx="628650" cy="457200"/>
                    <wp:effectExtent l="0" t="0" r="19050" b="19050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76D34" w14:textId="77777777" w:rsidR="006146D9" w:rsidRDefault="006146D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BFABA8" wp14:editId="3A2915FC">
                                      <wp:extent cx="436880" cy="340360"/>
                                      <wp:effectExtent l="0" t="0" r="1270" b="2540"/>
                                      <wp:docPr id="1101044828" name="Image 1" descr="Une image contenant texte, Police, logo, symbole&#10;&#10;Description générée automatiquemen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01044828" name="Image 1" descr="Une image contenant texte, Police, logo, symbole&#10;&#10;Description générée automatiquement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36880" cy="340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1AB7A" id="Rectangle 7" o:spid="_x0000_s1026" style="position:absolute;margin-left:244.1pt;margin-top:8.5pt;width:49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" strokecolor="white [3212]">
                    <v:textbox>
                      <w:txbxContent>
                        <w:p w14:paraId="61A76D34" w14:textId="77777777" w:rsidR="006146D9" w:rsidRDefault="006146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FABA8" wp14:editId="3A2915FC">
                                <wp:extent cx="436880" cy="340360"/>
                                <wp:effectExtent l="0" t="0" r="1270" b="2540"/>
                                <wp:docPr id="1101044828" name="Image 1" descr="Une image contenant texte, Police, logo, symbo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1044828" name="Image 1" descr="Une image contenant texte, Police, logo, symbole&#10;&#10;Description générée automatiquement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6880" cy="340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E85AB4">
            <w:rPr>
              <w:rFonts w:cs="Arial"/>
            </w:rPr>
            <w:t>N° SIRET 414 604 421 000 35 – Code APE 8899B</w:t>
          </w:r>
        </w:p>
        <w:p w14:paraId="4F84E600" w14:textId="77777777" w:rsidR="006146D9" w:rsidRDefault="006146D9" w:rsidP="00F63B08">
          <w:pPr>
            <w:pStyle w:val="En-tte"/>
            <w:jc w:val="center"/>
            <w:rPr>
              <w:rFonts w:cs="Arial"/>
            </w:rPr>
          </w:pPr>
        </w:p>
        <w:p w14:paraId="38787088" w14:textId="77777777" w:rsidR="006146D9" w:rsidRDefault="006146D9" w:rsidP="00F63B08">
          <w:pPr>
            <w:pStyle w:val="En-tte"/>
            <w:ind w:right="-927"/>
          </w:pPr>
          <w:r>
            <w:rPr>
              <w:rFonts w:cs="Arial"/>
            </w:rPr>
            <w:t>Déclaration Services A la Personne : N°SAP /414604421</w:t>
          </w:r>
        </w:p>
      </w:tc>
    </w:tr>
  </w:tbl>
  <w:p w14:paraId="3558CB00" w14:textId="77777777" w:rsidR="006146D9" w:rsidRDefault="006146D9" w:rsidP="00F91F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4E6"/>
    <w:multiLevelType w:val="hybridMultilevel"/>
    <w:tmpl w:val="C5861F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3E8"/>
    <w:multiLevelType w:val="hybridMultilevel"/>
    <w:tmpl w:val="09B4B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4E6"/>
    <w:multiLevelType w:val="hybridMultilevel"/>
    <w:tmpl w:val="0040D9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5DE5"/>
    <w:multiLevelType w:val="hybridMultilevel"/>
    <w:tmpl w:val="E7F40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7595"/>
    <w:multiLevelType w:val="hybridMultilevel"/>
    <w:tmpl w:val="4C34DB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74CB"/>
    <w:multiLevelType w:val="hybridMultilevel"/>
    <w:tmpl w:val="F14C9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14F9"/>
    <w:multiLevelType w:val="hybridMultilevel"/>
    <w:tmpl w:val="9FD07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856D1"/>
    <w:multiLevelType w:val="hybridMultilevel"/>
    <w:tmpl w:val="AF784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87402">
    <w:abstractNumId w:val="5"/>
  </w:num>
  <w:num w:numId="2" w16cid:durableId="816530417">
    <w:abstractNumId w:val="2"/>
  </w:num>
  <w:num w:numId="3" w16cid:durableId="1510412633">
    <w:abstractNumId w:val="1"/>
  </w:num>
  <w:num w:numId="4" w16cid:durableId="990787469">
    <w:abstractNumId w:val="4"/>
  </w:num>
  <w:num w:numId="5" w16cid:durableId="1975018396">
    <w:abstractNumId w:val="0"/>
  </w:num>
  <w:num w:numId="6" w16cid:durableId="1926500562">
    <w:abstractNumId w:val="7"/>
  </w:num>
  <w:num w:numId="7" w16cid:durableId="808519051">
    <w:abstractNumId w:val="3"/>
  </w:num>
  <w:num w:numId="8" w16cid:durableId="173955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5F"/>
    <w:rsid w:val="005F5392"/>
    <w:rsid w:val="006146D9"/>
    <w:rsid w:val="00771526"/>
    <w:rsid w:val="00B3495F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7566"/>
  <w15:chartTrackingRefBased/>
  <w15:docId w15:val="{F79F4FCA-A4C0-419E-9768-3E9432A1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5F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3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49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49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49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49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49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49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4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4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49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49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49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49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495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B34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B3495F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349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3495F"/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B3495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3495F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B34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contact@rqbassinminier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BEAUCAIRE</dc:creator>
  <cp:keywords/>
  <dc:description/>
  <cp:lastModifiedBy>Isabelle BEAUCAIRE</cp:lastModifiedBy>
  <cp:revision>1</cp:revision>
  <dcterms:created xsi:type="dcterms:W3CDTF">2025-04-28T06:54:00Z</dcterms:created>
  <dcterms:modified xsi:type="dcterms:W3CDTF">2025-04-28T07:06:00Z</dcterms:modified>
</cp:coreProperties>
</file>